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C2C" w:rsidRDefault="001F0C2C" w:rsidP="001F0C2C">
      <w:pPr>
        <w:pStyle w:val="Textoindependiente"/>
        <w:numPr>
          <w:ilvl w:val="0"/>
          <w:numId w:val="1"/>
        </w:numPr>
        <w:spacing w:after="0"/>
        <w:rPr>
          <w:rFonts w:ascii="Times New Roman" w:hAnsi="Times New Roman"/>
          <w:lang w:val="es-EC"/>
        </w:rPr>
      </w:pPr>
      <w:bookmarkStart w:id="0" w:name="_GoBack"/>
      <w:r w:rsidRPr="0040494A">
        <w:rPr>
          <w:b/>
          <w:color w:val="006666"/>
          <w:sz w:val="20"/>
          <w:szCs w:val="20"/>
        </w:rPr>
        <w:t xml:space="preserve">Circular </w:t>
      </w:r>
      <w:hyperlink r:id="rId5" w:history="1">
        <w:r w:rsidRPr="0040494A">
          <w:rPr>
            <w:b/>
            <w:color w:val="006666"/>
            <w:sz w:val="20"/>
            <w:szCs w:val="20"/>
          </w:rPr>
          <w:t>NAC-DGECCGC18-00000004</w:t>
        </w:r>
      </w:hyperlink>
      <w:bookmarkEnd w:id="0"/>
      <w:r w:rsidRPr="0040494A">
        <w:rPr>
          <w:b/>
          <w:color w:val="006666"/>
          <w:sz w:val="20"/>
          <w:szCs w:val="20"/>
        </w:rPr>
        <w:t xml:space="preserve">: </w:t>
      </w:r>
      <w:r w:rsidRPr="0040494A">
        <w:rPr>
          <w:sz w:val="20"/>
          <w:szCs w:val="20"/>
        </w:rPr>
        <w:t>A los sujetos pasivos del Impuesto a la Renta</w:t>
      </w:r>
      <w:r w:rsidRPr="0040494A">
        <w:rPr>
          <w:sz w:val="20"/>
          <w:szCs w:val="20"/>
        </w:rPr>
        <w:br/>
      </w:r>
    </w:p>
    <w:p w:rsidR="001F0C2C" w:rsidRDefault="001F0C2C" w:rsidP="001F0C2C">
      <w:pPr>
        <w:shd w:val="clear" w:color="auto" w:fill="FFFFFF"/>
        <w:jc w:val="center"/>
        <w:rPr>
          <w:rFonts w:ascii="Tahoma" w:hAnsi="Tahoma" w:cs="Tahoma"/>
          <w:sz w:val="16"/>
          <w:szCs w:val="20"/>
          <w:shd w:val="clear" w:color="auto" w:fill="FFFFFF"/>
        </w:rPr>
        <w:sectPr w:rsidR="001F0C2C" w:rsidSect="001F0C2C">
          <w:pgSz w:w="11906" w:h="16838"/>
          <w:pgMar w:top="720" w:right="720" w:bottom="720" w:left="720" w:header="708" w:footer="105" w:gutter="0"/>
          <w:cols w:space="708"/>
          <w:docGrid w:linePitch="360"/>
        </w:sectPr>
      </w:pPr>
    </w:p>
    <w:p w:rsidR="001F0C2C" w:rsidRPr="0040494A" w:rsidRDefault="001F0C2C" w:rsidP="001F0C2C">
      <w:pPr>
        <w:shd w:val="clear" w:color="auto" w:fill="FFFFFF"/>
        <w:rPr>
          <w:rFonts w:ascii="Tahoma" w:hAnsi="Tahoma" w:cs="Tahoma"/>
          <w:sz w:val="16"/>
          <w:szCs w:val="20"/>
          <w:shd w:val="clear" w:color="auto" w:fill="FFFFFF"/>
        </w:rPr>
      </w:pPr>
      <w:r w:rsidRPr="0040494A">
        <w:rPr>
          <w:rFonts w:ascii="Tahoma" w:hAnsi="Tahoma" w:cs="Tahoma"/>
          <w:sz w:val="16"/>
          <w:szCs w:val="20"/>
          <w:shd w:val="clear" w:color="auto" w:fill="FFFFFF"/>
        </w:rPr>
        <w:lastRenderedPageBreak/>
        <w:t>El artículo 226 de la Constitución de la República del Ecuador dispone que las instituciones del Estado, sus organismos, dependencias, las servidoras o servidores públicos y las personas que actúen en virtud de una potestad estatal ejercerán solamente las competencias y facultades que les sean atribuidas en la Constitución y la ley.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El artículo 300 de la Constitución de la República del Ecuador señala que el régimen tributario se regirá por los principios de generalidad, progresividad, eficiencia, simplicidad administrativa, irretroactividad, equidad, transparencia y suficiencia recaudatoria. Se priorizarán los impuestos directos y progresivos.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El artículo 17 del Código Tributario establece que cuando el hecho generador consista en un acto jurídico se calificará conforme a su verdadera esencia y naturaleza jurídica, cualquier que sea la forma elegida o la denominación utilizada por los interesados; y, cuando el hecho generador se delimite a conceptos económicos, el criterio para calificarlos tendrá en cuenta las situaciones o relaciones económicas que efectivamente existan o se establezcan por los interesados, con independencia de las formas jurídicas que se utilicen.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Conforme al artículo 298 del Código Orgánico Integral Penal, incurre en defraudación tributaria la persona que simule, oculte, omita, falsee o engañe a la Administración Tributaria para dejar de cumplir con sus obligaciones o para dejar de pagar en todo o en parte los tributos realmente debidos, en provecho propio o de un tercero.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El artículo 73 del Código Tributario, establece que la actuación de la Administración Tributaria, se desarrollará con arreglo a los principios de simplificación, celeridad y eficacia.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Finalmente, de acuerdo a lo establecido en el artículo 7 del Código Tributario, en concordancia con el artículo 8 de la Ley de Creación del Servicio de Rentas Internas, es facultad del Director General del Servicio de Rentas Internas expedir las resoluciones, circulares o disposiciones de carácter general y obligatorio necesarias para la aplicación de las normas legales y reglamentarias.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Con fundamento en la normativa expuesta, el Servicio de Rentas Internas recuerda a los sujetos pasivos del Impuesto a la Renta, lo siguiente: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1. La operación de crédito denominada </w:t>
      </w:r>
      <w:r w:rsidRPr="0040494A">
        <w:rPr>
          <w:rFonts w:ascii="Tahoma" w:hAnsi="Tahoma" w:cs="Tahoma"/>
          <w:i/>
          <w:iCs/>
          <w:sz w:val="16"/>
          <w:szCs w:val="20"/>
          <w:shd w:val="clear" w:color="auto" w:fill="FFFFFF"/>
        </w:rPr>
        <w:t>"back to back", </w:t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ha sido detectada por el Servicio de Rentas Internas como una práctica utilizada para disminuir artificialmente el pago de impuestos. A través de este tipo de endeudamiento indirecto, se obtienen préstamos de entidades bancarias nacionales o extranjeras, a las que previamente el receptor del crédito o una parte relacionada del mismo les ha dotado de fondos. En ciertos casos estas operaciones tienen como finalidad deducir de la base imponible del Impuesto a la Renta, un supuesto gasto financiero, cuando en realidad corresponde a un rendimiento de un financiamiento propio.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2. El artículo 17 del Código Tributario dispone que la calificación del hecho generador responde a la verdadera esencia de la naturaleza del acto jurídico que lo configure, y que los actos de los contribuyentes deberán tener suficiente sustancia económica para ser calificados para fines tributarios.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3. Consecuentemente, la Administración Tributaria no reconocerá la deducibilidad en el Impuesto a la Renta de los gastos generados por operaciones denominadas </w:t>
      </w:r>
      <w:r w:rsidRPr="0040494A">
        <w:rPr>
          <w:rFonts w:ascii="Tahoma" w:hAnsi="Tahoma" w:cs="Tahoma"/>
          <w:i/>
          <w:iCs/>
          <w:sz w:val="16"/>
          <w:szCs w:val="20"/>
          <w:shd w:val="clear" w:color="auto" w:fill="FFFFFF"/>
        </w:rPr>
        <w:t>"back to back", </w:t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cuando dentro de los correspondientes análisis técnicos y jurídicos en cada caso, se identifique que realmente se trató de una provisión de fondos propios a favor del receptor del crédito o sus relacionadas.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4. El Servicio de Rentas Internas en ejercicio de sus facultades legales, controlará la observancia de lo señalado en la presente circular, sin perjuicio de las acciones legales a que hubiere lugar.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Dado en Quito DM, a 18 de mayo de 2018.</w:t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</w:rPr>
        <w:br/>
      </w:r>
      <w:r w:rsidRPr="0040494A">
        <w:rPr>
          <w:rFonts w:ascii="Tahoma" w:hAnsi="Tahoma" w:cs="Tahoma"/>
          <w:sz w:val="16"/>
          <w:szCs w:val="20"/>
          <w:shd w:val="clear" w:color="auto" w:fill="FFFFFF"/>
        </w:rPr>
        <w:t>Comuníquese y publíquese en el Registro Oficial.</w:t>
      </w:r>
    </w:p>
    <w:p w:rsidR="001F0C2C" w:rsidRDefault="001F0C2C" w:rsidP="001F0C2C">
      <w:pPr>
        <w:shd w:val="clear" w:color="auto" w:fill="FFFFFF"/>
        <w:jc w:val="center"/>
        <w:rPr>
          <w:rFonts w:ascii="Helvetica" w:hAnsi="Helvetica" w:cs="Helvetica"/>
          <w:color w:val="404040"/>
          <w:sz w:val="20"/>
          <w:szCs w:val="20"/>
          <w:shd w:val="clear" w:color="auto" w:fill="FFFFFF"/>
        </w:rPr>
        <w:sectPr w:rsidR="001F0C2C" w:rsidSect="0040494A">
          <w:type w:val="continuous"/>
          <w:pgSz w:w="11906" w:h="16838"/>
          <w:pgMar w:top="720" w:right="720" w:bottom="720" w:left="720" w:header="708" w:footer="105" w:gutter="0"/>
          <w:cols w:num="2" w:space="708"/>
          <w:docGrid w:linePitch="360"/>
        </w:sectPr>
      </w:pPr>
    </w:p>
    <w:p w:rsidR="00805776" w:rsidRDefault="00805776"/>
    <w:sectPr w:rsidR="00805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B7C7D"/>
    <w:multiLevelType w:val="hybridMultilevel"/>
    <w:tmpl w:val="2BD63D4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C2C"/>
    <w:rsid w:val="001F0C2C"/>
    <w:rsid w:val="0080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4C716-4FAE-4A88-9AB6-2F7CC1A53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C2C"/>
    <w:pPr>
      <w:spacing w:after="0" w:line="240" w:lineRule="auto"/>
    </w:pPr>
    <w:rPr>
      <w:rFonts w:ascii="Century Gothic" w:eastAsia="Times New Roman" w:hAnsi="Century Gothic" w:cs="Times New Roman"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unhideWhenUsed/>
    <w:rsid w:val="001F0C2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F0C2C"/>
    <w:rPr>
      <w:rFonts w:ascii="Century Gothic" w:eastAsia="Times New Roman" w:hAnsi="Century Gothic" w:cs="Times New Roman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incular(1700658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Latitude</dc:creator>
  <cp:keywords/>
  <dc:description/>
  <cp:lastModifiedBy>Dell Latitude</cp:lastModifiedBy>
  <cp:revision>1</cp:revision>
  <dcterms:created xsi:type="dcterms:W3CDTF">2018-07-17T21:17:00Z</dcterms:created>
  <dcterms:modified xsi:type="dcterms:W3CDTF">2018-07-17T21:18:00Z</dcterms:modified>
</cp:coreProperties>
</file>